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sz w:val="28"/>
          <w:szCs w:val="28"/>
          <w:rtl w:val="0"/>
        </w:rPr>
        <w:t xml:space="preserve">There’s so much more to know about this topic. Please start a conversation with your friends, family, children, co-parent or anyone else you’d like to talk this through with.  Below are some resources which are a great starting place for learning more.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10.0" w:type="dxa"/>
        <w:jc w:val="left"/>
        <w:tblBorders>
          <w:top w:color="9e9e9e" w:space="0" w:sz="8" w:val="single"/>
          <w:left w:color="9e9e9e" w:space="0" w:sz="8" w:val="single"/>
          <w:bottom w:color="9e9e9e" w:space="0" w:sz="8" w:val="single"/>
          <w:right w:color="9e9e9e" w:space="0" w:sz="8" w:val="single"/>
          <w:insideH w:color="9e9e9e" w:space="0" w:sz="8" w:val="single"/>
          <w:insideV w:color="9e9e9e" w:space="0" w:sz="8" w:val="single"/>
        </w:tblBorders>
        <w:tblLayout w:type="fixed"/>
        <w:tblLook w:val="0600"/>
      </w:tblPr>
      <w:tblGrid>
        <w:gridCol w:w="3720"/>
        <w:gridCol w:w="4950"/>
        <w:gridCol w:w="2040"/>
        <w:tblGridChange w:id="0">
          <w:tblGrid>
            <w:gridCol w:w="3720"/>
            <w:gridCol w:w="4950"/>
            <w:gridCol w:w="2040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spacing w:after="0" w:line="240" w:lineRule="auto"/>
              <w:rPr>
                <w:rFonts w:ascii="Arial" w:cs="Arial" w:eastAsia="Arial" w:hAnsi="Arial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sz w:val="36"/>
                <w:szCs w:val="36"/>
                <w:rtl w:val="0"/>
              </w:rPr>
              <w:t xml:space="preserve">Resource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after="0" w:line="240" w:lineRule="auto"/>
              <w:rPr>
                <w:rFonts w:ascii="Arial" w:cs="Arial" w:eastAsia="Arial" w:hAnsi="Arial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sz w:val="36"/>
                <w:szCs w:val="36"/>
                <w:rtl w:val="0"/>
              </w:rPr>
              <w:t xml:space="preserve">Info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after="0" w:line="240" w:lineRule="auto"/>
              <w:rPr>
                <w:rFonts w:ascii="Arial" w:cs="Arial" w:eastAsia="Arial" w:hAnsi="Arial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sz w:val="36"/>
                <w:szCs w:val="36"/>
                <w:rtl w:val="0"/>
              </w:rPr>
              <w:t xml:space="preserve">QR Code</w:t>
            </w:r>
          </w:p>
        </w:tc>
      </w:tr>
      <w:tr>
        <w:trPr>
          <w:cantSplit w:val="0"/>
          <w:trHeight w:val="174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after="0" w:line="276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</w:rPr>
              <w:drawing>
                <wp:inline distB="19050" distT="19050" distL="19050" distR="19050">
                  <wp:extent cx="2190750" cy="800100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1126" r="33381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800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Nip in the bud podcast - How to move towards a smartphone free childhood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 This episode from the children’s mental health podcast features GP Dr Susie Davies sharing her wealth of knowledge on the subject.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after="0"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</w:rPr>
              <w:drawing>
                <wp:inline distB="19050" distT="19050" distL="19050" distR="19050">
                  <wp:extent cx="980632" cy="988943"/>
                  <wp:effectExtent b="0" l="0" r="0" t="0"/>
                  <wp:docPr id="11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632" cy="9889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7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after="0"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</w:rPr>
              <w:drawing>
                <wp:inline distB="19050" distT="19050" distL="19050" distR="19050">
                  <wp:extent cx="2190750" cy="901700"/>
                  <wp:effectExtent b="0" l="0" r="0" t="0"/>
                  <wp:docPr id="5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901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Swiped: The school that banned Smartphones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. A 2024 Channel 4 documentary into the use of Smartphones in secondary school children.  This documentary 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widowControl w:val="0"/>
              <w:spacing w:after="0"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9050" distT="19050" distL="19050" distR="19050">
                  <wp:extent cx="1004888" cy="1025823"/>
                  <wp:effectExtent b="0" l="0" r="0" t="0"/>
                  <wp:docPr id="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88" cy="10258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</w:t>
            </w:r>
          </w:p>
        </w:tc>
      </w:tr>
      <w:tr>
        <w:trPr>
          <w:cantSplit w:val="0"/>
          <w:trHeight w:val="102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</w:rPr>
              <w:drawing>
                <wp:inline distB="19050" distT="19050" distL="19050" distR="19050">
                  <wp:extent cx="876300" cy="1318876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3188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after="0" w:line="240" w:lineRule="auto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The Anxious Generation - Jonathan Haidt</w:t>
            </w:r>
          </w:p>
          <w:p w:rsidR="00000000" w:rsidDel="00000000" w:rsidP="00000000" w:rsidRDefault="00000000" w:rsidRPr="00000000" w14:paraId="0000000F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This best seller puts the issues related to Smartphone and social media use into a wider context and offers some great suggestions for moving forward. The book includes lots of digestible research.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after="0"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9050" distT="19050" distL="19050" distR="19050">
                  <wp:extent cx="961041" cy="969471"/>
                  <wp:effectExtent b="0" l="0" r="0" t="0"/>
                  <wp:docPr id="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041" cy="96947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20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after="0" w:line="276" w:lineRule="auto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9050" distT="19050" distL="19050" distR="19050">
                  <wp:extent cx="2190750" cy="685800"/>
                  <wp:effectExtent b="0" l="0" r="0" t="0"/>
                  <wp:docPr id="13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3"/>
                          <a:srcRect b="23609" l="4764" r="-10417" t="24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685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The Social Dilemma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- A 2020 Netflix film into the effects of social media. This is a docu-drama so designed to be shocking but has some interesting messages. Watch to the end to see that it’s not all doom and gloom.</w:t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after="0" w:line="276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</w:rPr>
              <w:drawing>
                <wp:inline distB="19050" distT="19050" distL="19050" distR="19050">
                  <wp:extent cx="941613" cy="991699"/>
                  <wp:effectExtent b="0" l="0" r="0" t="0"/>
                  <wp:docPr id="1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5862" l="8333" r="8333" t="108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613" cy="9916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49.3359375" w:hRule="atLeast"/>
          <w:tblHeader w:val="0"/>
        </w:trPr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after="0" w:line="240" w:lineRule="auto"/>
              <w:jc w:val="center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</w:rPr>
              <w:drawing>
                <wp:inline distB="19050" distT="19050" distL="19050" distR="19050">
                  <wp:extent cx="1849913" cy="1197528"/>
                  <wp:effectExtent b="0" l="0" r="0" t="0"/>
                  <wp:docPr id="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913" cy="11975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A YouTube video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of a talk between Jonathan Haidt and the founders of Smartphone Free Childhood. A great way to get a summary of The Anxious Generation book.</w:t>
            </w:r>
          </w:p>
          <w:p w:rsidR="00000000" w:rsidDel="00000000" w:rsidP="00000000" w:rsidRDefault="00000000" w:rsidRPr="00000000" w14:paraId="00000016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40.0" w:type="dxa"/>
              <w:left w:w="140.0" w:type="dxa"/>
              <w:bottom w:w="140.0" w:type="dxa"/>
              <w:right w:w="14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after="0" w:line="240" w:lineRule="auto"/>
              <w:rPr>
                <w:rFonts w:ascii="Arial" w:cs="Arial" w:eastAsia="Arial" w:hAnsi="Arial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</w:rPr>
              <w:drawing>
                <wp:inline distB="19050" distT="19050" distL="19050" distR="19050">
                  <wp:extent cx="985624" cy="985624"/>
                  <wp:effectExtent b="0" l="0" r="0" t="0"/>
                  <wp:docPr id="6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624" cy="9856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To find out more about Smartphone Free Childhood and sign the pact, use the QR code: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inline distB="114300" distT="114300" distL="114300" distR="114300">
            <wp:extent cx="881113" cy="890588"/>
            <wp:effectExtent b="0" l="0" r="0" t="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1113" cy="890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591349"/>
    <w:pPr>
      <w:ind w:left="720"/>
      <w:contextualSpacing w:val="1"/>
    </w:pPr>
  </w:style>
  <w:style w:type="character" w:styleId="Hyperlink">
    <w:name w:val="Hyperlink"/>
    <w:basedOn w:val="DefaultParagraphFont"/>
    <w:uiPriority w:val="99"/>
    <w:unhideWhenUsed w:val="1"/>
    <w:rsid w:val="005913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591349"/>
    <w:rPr>
      <w:color w:val="605e5c"/>
      <w:shd w:color="auto" w:fill="e1dfdd" w:val="clear"/>
    </w:rPr>
  </w:style>
  <w:style w:type="table" w:styleId="TableGrid">
    <w:name w:val="Table Grid"/>
    <w:basedOn w:val="TableNormal"/>
    <w:uiPriority w:val="39"/>
    <w:rsid w:val="0035719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/>
    <w:rPr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pPr/>
      <w:rPr/>
      <w:tcPr/>
    </w:tblStylePr>
    <w:tblStylePr w:type="band1Vert">
      <w:pPr/>
      <w:rPr/>
      <w:tcPr/>
    </w:tblStylePr>
    <w:tblStylePr w:type="band2Horz">
      <w:pPr/>
      <w:rPr/>
      <w:tcPr/>
    </w:tblStylePr>
    <w:tblStylePr w:type="band2Vert">
      <w:pPr/>
      <w:rPr/>
      <w:tcPr/>
    </w:tblStylePr>
    <w:tblStylePr w:type="firstCol">
      <w:pPr/>
      <w:rPr/>
      <w:tcPr/>
    </w:tblStylePr>
    <w:tblStylePr w:type="firstRow">
      <w:pPr/>
      <w:rPr/>
      <w:tcPr/>
    </w:tblStylePr>
    <w:tblStylePr w:type="lastCol">
      <w:pPr/>
      <w:rPr/>
      <w:tcPr/>
    </w:tblStylePr>
    <w:tblStylePr w:type="lastRow">
      <w:pPr/>
      <w:rPr/>
      <w:tcPr/>
    </w:tblStylePr>
    <w:tblStylePr w:type="neCell">
      <w:pPr/>
      <w:rPr/>
      <w:tcPr/>
    </w:tblStylePr>
    <w:tblStylePr w:type="nwCell">
      <w:pPr/>
      <w:rPr/>
      <w:tcPr/>
    </w:tblStylePr>
    <w:tblStylePr w:type="seCell">
      <w:pPr/>
      <w:rPr/>
      <w:tcPr/>
    </w:tblStylePr>
    <w:tblStylePr w:type="swCell">
      <w:pPr/>
      <w:rPr/>
      <w:tcPr/>
    </w:tblStyle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6.png"/><Relationship Id="rId13" Type="http://schemas.openxmlformats.org/officeDocument/2006/relationships/image" Target="media/image11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4.png"/><Relationship Id="rId14" Type="http://schemas.openxmlformats.org/officeDocument/2006/relationships/image" Target="media/image5.png"/><Relationship Id="rId17" Type="http://schemas.openxmlformats.org/officeDocument/2006/relationships/image" Target="media/image9.png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C7nuzxaJLclZb6aRtHZTaG5S+w==">CgMxLjAyCGguZ2pkZ3hzOAByITEzS1YyXzhlQVpSeXZrZEU5bUtPb1ZrZTZwNS1rd1h2Ug==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2023-07-05T10:40:00Z</dcterms:created>
  <dc:creator>Charlotte Seyfert</dc:creator>
</cp:coreProperties>
</file>